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09D36" w14:textId="77777777" w:rsidR="001E68F4" w:rsidRPr="00EF57F3" w:rsidRDefault="001E68F4" w:rsidP="00EF57F3">
      <w:pPr>
        <w:pStyle w:val="ListParagraph"/>
        <w:numPr>
          <w:ilvl w:val="0"/>
          <w:numId w:val="3"/>
        </w:numPr>
        <w:tabs>
          <w:tab w:val="left" w:pos="6630"/>
        </w:tabs>
        <w:bidi/>
        <w:spacing w:line="360" w:lineRule="auto"/>
        <w:jc w:val="both"/>
        <w:rPr>
          <w:rFonts w:cstheme="minorHAnsi"/>
          <w:b/>
          <w:bCs/>
          <w:sz w:val="24"/>
          <w:szCs w:val="24"/>
          <w:u w:val="single"/>
        </w:rPr>
      </w:pPr>
      <w:r w:rsidRPr="00EF57F3">
        <w:rPr>
          <w:rFonts w:cstheme="minorHAnsi"/>
          <w:b/>
          <w:bCs/>
          <w:sz w:val="24"/>
          <w:szCs w:val="24"/>
          <w:u w:val="single"/>
          <w:rtl/>
        </w:rPr>
        <w:t>عنوان الاختراع</w:t>
      </w:r>
    </w:p>
    <w:p w14:paraId="411C1D39" w14:textId="3B5C56CB" w:rsidR="001E68F4" w:rsidRPr="00EF57F3" w:rsidRDefault="00341F4E" w:rsidP="00EF57F3">
      <w:pPr>
        <w:tabs>
          <w:tab w:val="left" w:pos="6630"/>
        </w:tabs>
        <w:bidi/>
        <w:spacing w:line="360" w:lineRule="auto"/>
        <w:jc w:val="both"/>
        <w:rPr>
          <w:rFonts w:cstheme="minorHAnsi"/>
          <w:color w:val="FF0000"/>
          <w:rtl/>
          <w:lang w:bidi="ar-DZ"/>
        </w:rPr>
      </w:pPr>
      <w:r w:rsidRPr="00EF57F3">
        <w:rPr>
          <w:rFonts w:cstheme="minorHAnsi"/>
          <w:color w:val="FF0000"/>
          <w:rtl/>
        </w:rPr>
        <w:t xml:space="preserve">آلة سحق </w:t>
      </w:r>
    </w:p>
    <w:p w14:paraId="6E99F02B" w14:textId="77777777" w:rsidR="001E68F4" w:rsidRPr="00EF57F3" w:rsidRDefault="009135D2" w:rsidP="00EF57F3">
      <w:pPr>
        <w:pStyle w:val="ListParagraph"/>
        <w:numPr>
          <w:ilvl w:val="0"/>
          <w:numId w:val="3"/>
        </w:numPr>
        <w:tabs>
          <w:tab w:val="left" w:pos="6630"/>
        </w:tabs>
        <w:bidi/>
        <w:spacing w:line="360" w:lineRule="auto"/>
        <w:jc w:val="both"/>
        <w:rPr>
          <w:rFonts w:cstheme="minorHAnsi"/>
          <w:b/>
          <w:bCs/>
          <w:sz w:val="24"/>
          <w:szCs w:val="24"/>
          <w:u w:val="single"/>
        </w:rPr>
      </w:pPr>
      <w:r w:rsidRPr="00EF57F3">
        <w:rPr>
          <w:rFonts w:cstheme="minorHAnsi"/>
          <w:b/>
          <w:bCs/>
          <w:sz w:val="24"/>
          <w:szCs w:val="24"/>
          <w:u w:val="single"/>
          <w:rtl/>
        </w:rPr>
        <w:t>الميدان التقني</w:t>
      </w:r>
      <w:r w:rsidR="001E68F4" w:rsidRPr="00EF57F3">
        <w:rPr>
          <w:rFonts w:cstheme="minorHAnsi"/>
          <w:b/>
          <w:bCs/>
          <w:sz w:val="24"/>
          <w:szCs w:val="24"/>
          <w:u w:val="single"/>
          <w:rtl/>
        </w:rPr>
        <w:t xml:space="preserve"> الذي </w:t>
      </w:r>
      <w:r w:rsidRPr="00EF57F3">
        <w:rPr>
          <w:rFonts w:cstheme="minorHAnsi"/>
          <w:b/>
          <w:bCs/>
          <w:sz w:val="24"/>
          <w:szCs w:val="24"/>
          <w:u w:val="single"/>
          <w:rtl/>
        </w:rPr>
        <w:t>ينتمي</w:t>
      </w:r>
      <w:r w:rsidR="001E68F4" w:rsidRPr="00EF57F3">
        <w:rPr>
          <w:rFonts w:cstheme="minorHAnsi"/>
          <w:b/>
          <w:bCs/>
          <w:sz w:val="24"/>
          <w:szCs w:val="24"/>
          <w:u w:val="single"/>
          <w:rtl/>
        </w:rPr>
        <w:t xml:space="preserve"> </w:t>
      </w:r>
      <w:r w:rsidRPr="00EF57F3">
        <w:rPr>
          <w:rFonts w:cstheme="minorHAnsi"/>
          <w:b/>
          <w:bCs/>
          <w:sz w:val="24"/>
          <w:szCs w:val="24"/>
          <w:u w:val="single"/>
          <w:rtl/>
        </w:rPr>
        <w:t>إليه</w:t>
      </w:r>
      <w:r w:rsidR="001E68F4" w:rsidRPr="00EF57F3">
        <w:rPr>
          <w:rFonts w:cstheme="minorHAnsi"/>
          <w:b/>
          <w:bCs/>
          <w:sz w:val="24"/>
          <w:szCs w:val="24"/>
          <w:u w:val="single"/>
          <w:rtl/>
        </w:rPr>
        <w:t xml:space="preserve"> الاختراع</w:t>
      </w:r>
    </w:p>
    <w:p w14:paraId="229F8102" w14:textId="73377C3C" w:rsidR="001E68F4" w:rsidRPr="00EF57F3" w:rsidRDefault="00341F4E" w:rsidP="00EF57F3">
      <w:pPr>
        <w:tabs>
          <w:tab w:val="left" w:pos="6630"/>
        </w:tabs>
        <w:bidi/>
        <w:spacing w:line="360" w:lineRule="auto"/>
        <w:jc w:val="both"/>
        <w:rPr>
          <w:rFonts w:cstheme="minorHAnsi"/>
          <w:color w:val="FF0000"/>
          <w:rtl/>
        </w:rPr>
      </w:pPr>
      <w:r w:rsidRPr="00EF57F3">
        <w:rPr>
          <w:rFonts w:cstheme="minorHAnsi"/>
          <w:color w:val="FF0000"/>
          <w:rtl/>
        </w:rPr>
        <w:t>يتعلق الاختراع الحالي بآلة تكسير للصخور، على سبيل المثال، كسارة مخروطية أو كسارة فكية. هناك آلات من هذا النوع يكون محركها إما هيدروليكي أو ميكانيكيًا.</w:t>
      </w:r>
    </w:p>
    <w:p w14:paraId="5C24E60B" w14:textId="77777777" w:rsidR="001E68F4" w:rsidRPr="00EF57F3" w:rsidRDefault="009E0262" w:rsidP="00EF57F3">
      <w:pPr>
        <w:pStyle w:val="ListParagraph"/>
        <w:numPr>
          <w:ilvl w:val="0"/>
          <w:numId w:val="3"/>
        </w:numPr>
        <w:tabs>
          <w:tab w:val="left" w:pos="6630"/>
        </w:tabs>
        <w:bidi/>
        <w:spacing w:line="360" w:lineRule="auto"/>
        <w:jc w:val="both"/>
        <w:rPr>
          <w:rFonts w:cstheme="minorHAnsi"/>
          <w:b/>
          <w:bCs/>
          <w:sz w:val="24"/>
          <w:szCs w:val="24"/>
          <w:u w:val="single"/>
          <w:rtl/>
        </w:rPr>
      </w:pPr>
      <w:r w:rsidRPr="00EF57F3">
        <w:rPr>
          <w:rFonts w:cstheme="minorHAnsi"/>
          <w:b/>
          <w:bCs/>
          <w:sz w:val="24"/>
          <w:szCs w:val="24"/>
          <w:u w:val="single"/>
          <w:rtl/>
        </w:rPr>
        <w:t>ال</w:t>
      </w:r>
      <w:r w:rsidR="001E68F4" w:rsidRPr="00EF57F3">
        <w:rPr>
          <w:rFonts w:cstheme="minorHAnsi"/>
          <w:b/>
          <w:bCs/>
          <w:sz w:val="24"/>
          <w:szCs w:val="24"/>
          <w:u w:val="single"/>
          <w:rtl/>
        </w:rPr>
        <w:t>حالة</w:t>
      </w:r>
      <w:r w:rsidR="00B80A1B" w:rsidRPr="00EF57F3">
        <w:rPr>
          <w:rFonts w:cstheme="minorHAnsi"/>
          <w:b/>
          <w:bCs/>
          <w:sz w:val="24"/>
          <w:szCs w:val="24"/>
          <w:u w:val="single"/>
          <w:rtl/>
        </w:rPr>
        <w:t xml:space="preserve"> التقنية</w:t>
      </w:r>
      <w:r w:rsidR="001E68F4" w:rsidRPr="00EF57F3">
        <w:rPr>
          <w:rFonts w:cstheme="minorHAnsi"/>
          <w:b/>
          <w:bCs/>
          <w:sz w:val="24"/>
          <w:szCs w:val="24"/>
          <w:u w:val="single"/>
          <w:rtl/>
        </w:rPr>
        <w:t xml:space="preserve"> </w:t>
      </w:r>
      <w:r w:rsidRPr="00EF57F3">
        <w:rPr>
          <w:rFonts w:cstheme="minorHAnsi"/>
          <w:b/>
          <w:bCs/>
          <w:sz w:val="24"/>
          <w:szCs w:val="24"/>
          <w:u w:val="single"/>
          <w:rtl/>
        </w:rPr>
        <w:t xml:space="preserve">السابقة </w:t>
      </w:r>
    </w:p>
    <w:p w14:paraId="1CD2753D" w14:textId="6F2A29A7" w:rsidR="00EB15EF" w:rsidRDefault="00EB15EF" w:rsidP="002338C2">
      <w:pPr>
        <w:tabs>
          <w:tab w:val="left" w:pos="6630"/>
        </w:tabs>
        <w:bidi/>
        <w:spacing w:line="360" w:lineRule="auto"/>
        <w:jc w:val="both"/>
        <w:rPr>
          <w:rFonts w:cstheme="minorHAnsi"/>
          <w:color w:val="FF0000"/>
        </w:rPr>
      </w:pPr>
      <w:r w:rsidRPr="00EB15EF">
        <w:rPr>
          <w:rFonts w:cs="Calibri"/>
          <w:color w:val="FF0000"/>
          <w:rtl/>
        </w:rPr>
        <w:t xml:space="preserve">معظم آلات تكسير الصخور هي كسارات مخروطية أو فكية. الآلات من هذا النوع التي يكون محركها إما </w:t>
      </w:r>
      <w:proofErr w:type="spellStart"/>
      <w:r w:rsidRPr="00EB15EF">
        <w:rPr>
          <w:rFonts w:cs="Calibri"/>
          <w:color w:val="FF0000"/>
          <w:rtl/>
        </w:rPr>
        <w:t>هيدروليكيًا</w:t>
      </w:r>
      <w:proofErr w:type="spellEnd"/>
      <w:r w:rsidRPr="00EB15EF">
        <w:rPr>
          <w:rFonts w:cs="Calibri"/>
          <w:color w:val="FF0000"/>
          <w:rtl/>
        </w:rPr>
        <w:t xml:space="preserve"> أو ميكانيكيًا، في كسارة مخروطية معروفة بمحرك ميكانيكي، يتم توفيرها لدعم مخروط التكسير نظام هيدروليكي يمكن استخدامه أيضًا لضبط مساحة الطحن والذي، كما هو شائع، محمي ضد الحمولة الزائدة.</w:t>
      </w:r>
    </w:p>
    <w:p w14:paraId="5BF4BA9C" w14:textId="13436DA8" w:rsidR="002338C2" w:rsidRPr="002338C2" w:rsidRDefault="002338C2" w:rsidP="00EB15EF">
      <w:pPr>
        <w:tabs>
          <w:tab w:val="left" w:pos="6630"/>
        </w:tabs>
        <w:bidi/>
        <w:spacing w:line="360" w:lineRule="auto"/>
        <w:jc w:val="both"/>
        <w:rPr>
          <w:rFonts w:cstheme="minorHAnsi"/>
          <w:color w:val="FF0000"/>
        </w:rPr>
      </w:pPr>
      <w:r w:rsidRPr="002338C2">
        <w:rPr>
          <w:rFonts w:cstheme="minorHAnsi"/>
          <w:color w:val="FF0000"/>
          <w:rtl/>
        </w:rPr>
        <w:t xml:space="preserve">تصف الوثيقة </w:t>
      </w:r>
      <w:r w:rsidRPr="002338C2">
        <w:rPr>
          <w:rFonts w:cstheme="minorHAnsi"/>
          <w:color w:val="FF0000"/>
        </w:rPr>
        <w:t>WO 2005/099903</w:t>
      </w:r>
      <w:r w:rsidRPr="002338C2">
        <w:rPr>
          <w:rFonts w:cstheme="minorHAnsi"/>
          <w:color w:val="FF0000"/>
          <w:rtl/>
        </w:rPr>
        <w:t xml:space="preserve"> جهاز التكسير الذي يمكن فيه ضبط جهاز التغذية بين موضع التغذية التشغيلي الذي يتم فيه إمداد المادة المراد سحقها إلى مدخل جهاز التكسير والوضع غير النشط الذي يمكن فيه تفريغ المادة من جهاز التغذية دون أن يتم تغذيته في جهاز الطحن.</w:t>
      </w:r>
    </w:p>
    <w:p w14:paraId="56A7E430" w14:textId="2DA3FD4B" w:rsidR="002338C2" w:rsidRPr="002338C2" w:rsidRDefault="002338C2" w:rsidP="002338C2">
      <w:pPr>
        <w:tabs>
          <w:tab w:val="left" w:pos="6630"/>
        </w:tabs>
        <w:bidi/>
        <w:spacing w:line="360" w:lineRule="auto"/>
        <w:rPr>
          <w:rFonts w:cstheme="minorHAnsi"/>
          <w:color w:val="FF0000"/>
        </w:rPr>
      </w:pPr>
      <w:r w:rsidRPr="002338C2">
        <w:rPr>
          <w:rFonts w:cstheme="minorHAnsi"/>
          <w:color w:val="FF0000"/>
          <w:rtl/>
        </w:rPr>
        <w:t>تصف الوثيقة 2004/</w:t>
      </w:r>
      <w:r w:rsidRPr="002338C2">
        <w:rPr>
          <w:rFonts w:cstheme="minorHAnsi" w:hint="cs"/>
          <w:color w:val="FF0000"/>
          <w:rtl/>
        </w:rPr>
        <w:t xml:space="preserve">0035963 </w:t>
      </w:r>
      <w:r>
        <w:rPr>
          <w:rFonts w:cstheme="minorHAnsi"/>
          <w:color w:val="FF0000"/>
        </w:rPr>
        <w:t>US</w:t>
      </w:r>
      <w:r>
        <w:rPr>
          <w:rFonts w:cstheme="minorHAnsi" w:hint="cs"/>
          <w:color w:val="FF0000"/>
          <w:rtl/>
        </w:rPr>
        <w:t xml:space="preserve"> </w:t>
      </w:r>
      <w:r>
        <w:rPr>
          <w:rFonts w:cstheme="minorHAnsi"/>
          <w:color w:val="FF0000"/>
          <w:rtl/>
        </w:rPr>
        <w:t>وحدة</w:t>
      </w:r>
      <w:r w:rsidRPr="002338C2">
        <w:rPr>
          <w:rFonts w:cstheme="minorHAnsi"/>
          <w:color w:val="FF0000"/>
          <w:rtl/>
        </w:rPr>
        <w:t xml:space="preserve"> تكسير متنقلة تحتوي على وحدة تغذية اهتزازية والتي يستخدم فيها ترتيب قفل النقل جدرانًا جانبية دوارة لأسفل لقادوس تغذية وحدة التغذية الاهتزازية لقفل وحدة التغذية الاهتزازية بشكل صارم إلى حد كبير في إطار وحدات التكسير. في موقف شفاف.</w:t>
      </w:r>
    </w:p>
    <w:p w14:paraId="01E9E666" w14:textId="77777777" w:rsidR="002338C2" w:rsidRPr="002338C2" w:rsidRDefault="002338C2" w:rsidP="002338C2">
      <w:pPr>
        <w:tabs>
          <w:tab w:val="left" w:pos="6630"/>
        </w:tabs>
        <w:bidi/>
        <w:spacing w:line="360" w:lineRule="auto"/>
        <w:jc w:val="both"/>
        <w:rPr>
          <w:rFonts w:cstheme="minorHAnsi"/>
          <w:color w:val="FF0000"/>
        </w:rPr>
      </w:pPr>
      <w:r w:rsidRPr="002338C2">
        <w:rPr>
          <w:rFonts w:cstheme="minorHAnsi"/>
          <w:color w:val="FF0000"/>
          <w:rtl/>
        </w:rPr>
        <w:t xml:space="preserve">تصف الوثيقة </w:t>
      </w:r>
      <w:r w:rsidRPr="002338C2">
        <w:rPr>
          <w:rFonts w:cstheme="minorHAnsi"/>
          <w:color w:val="FF0000"/>
        </w:rPr>
        <w:t>US 2006/3647150</w:t>
      </w:r>
      <w:r w:rsidRPr="002338C2">
        <w:rPr>
          <w:rFonts w:cstheme="minorHAnsi"/>
          <w:color w:val="FF0000"/>
          <w:rtl/>
        </w:rPr>
        <w:t xml:space="preserve"> وحدة غربلة لنظام الكسارة المحمولة حيث يتم توفير سلسلة من الغرابيل الاهتزازية لغربلة وفصل المواد التي مرت عبر الكسارة إلى أحجام مختلفة. يمكن إرجاع المواد كبيرة الحجم إلى الكسارة الفكية.</w:t>
      </w:r>
    </w:p>
    <w:p w14:paraId="682628E9" w14:textId="33F37EAF" w:rsidR="002338C2" w:rsidRDefault="002338C2" w:rsidP="002338C2">
      <w:pPr>
        <w:tabs>
          <w:tab w:val="left" w:pos="6630"/>
        </w:tabs>
        <w:bidi/>
        <w:spacing w:line="360" w:lineRule="auto"/>
        <w:jc w:val="both"/>
        <w:rPr>
          <w:rFonts w:cstheme="minorHAnsi"/>
          <w:color w:val="FF0000"/>
        </w:rPr>
      </w:pPr>
      <w:r w:rsidRPr="002338C2">
        <w:rPr>
          <w:rFonts w:cs="Calibri"/>
          <w:color w:val="FF0000"/>
          <w:rtl/>
        </w:rPr>
        <w:t xml:space="preserve">على ضوء كل ما سبق، </w:t>
      </w:r>
      <w:r w:rsidRPr="002338C2">
        <w:rPr>
          <w:rFonts w:cstheme="minorHAnsi"/>
          <w:color w:val="FF0000"/>
          <w:rtl/>
        </w:rPr>
        <w:t>نقدم آلة تكسير تشتمل على محرك هيدروليكي أو محرك ميكانيكي ودعم هيدروليكي لأداة التكسير، وتتميز بأن مصدر الاهتزازات المتصل بالسائل الهيدروليكي مثبت في الدائرة الهيدروليكية للمحرك.</w:t>
      </w:r>
    </w:p>
    <w:p w14:paraId="48566DCD" w14:textId="257DDA23" w:rsidR="001E68F4" w:rsidRPr="002338C2" w:rsidRDefault="001E68F4" w:rsidP="002338C2">
      <w:pPr>
        <w:pStyle w:val="ListParagraph"/>
        <w:numPr>
          <w:ilvl w:val="0"/>
          <w:numId w:val="3"/>
        </w:numPr>
        <w:tabs>
          <w:tab w:val="left" w:pos="6630"/>
        </w:tabs>
        <w:bidi/>
        <w:spacing w:line="360" w:lineRule="auto"/>
        <w:jc w:val="both"/>
        <w:rPr>
          <w:rFonts w:cstheme="minorHAnsi"/>
          <w:b/>
          <w:bCs/>
          <w:sz w:val="24"/>
          <w:szCs w:val="24"/>
          <w:u w:val="single"/>
        </w:rPr>
      </w:pPr>
      <w:r w:rsidRPr="002338C2">
        <w:rPr>
          <w:rFonts w:cstheme="minorHAnsi"/>
          <w:b/>
          <w:bCs/>
          <w:sz w:val="24"/>
          <w:szCs w:val="24"/>
          <w:u w:val="single"/>
          <w:rtl/>
        </w:rPr>
        <w:t>الغرض</w:t>
      </w:r>
      <w:r w:rsidR="009135D2" w:rsidRPr="002338C2">
        <w:rPr>
          <w:rFonts w:cstheme="minorHAnsi"/>
          <w:b/>
          <w:bCs/>
          <w:sz w:val="24"/>
          <w:szCs w:val="24"/>
          <w:u w:val="single"/>
          <w:rtl/>
        </w:rPr>
        <w:t xml:space="preserve"> </w:t>
      </w:r>
      <w:r w:rsidR="00341F4E" w:rsidRPr="002338C2">
        <w:rPr>
          <w:rFonts w:cstheme="minorHAnsi"/>
          <w:b/>
          <w:bCs/>
          <w:sz w:val="24"/>
          <w:szCs w:val="24"/>
          <w:u w:val="single"/>
          <w:rtl/>
        </w:rPr>
        <w:t>(الهدف)</w:t>
      </w:r>
      <w:r w:rsidRPr="002338C2">
        <w:rPr>
          <w:rFonts w:cstheme="minorHAnsi"/>
          <w:b/>
          <w:bCs/>
          <w:sz w:val="24"/>
          <w:szCs w:val="24"/>
          <w:u w:val="single"/>
          <w:rtl/>
        </w:rPr>
        <w:t xml:space="preserve"> من الاختراع</w:t>
      </w:r>
    </w:p>
    <w:p w14:paraId="36BF258B" w14:textId="14CD3376" w:rsidR="001E68F4" w:rsidRPr="00EF57F3" w:rsidRDefault="00341F4E" w:rsidP="002338C2">
      <w:pPr>
        <w:tabs>
          <w:tab w:val="left" w:pos="6630"/>
        </w:tabs>
        <w:bidi/>
        <w:spacing w:line="360" w:lineRule="auto"/>
        <w:jc w:val="both"/>
        <w:rPr>
          <w:rFonts w:cstheme="minorHAnsi"/>
          <w:color w:val="FF0000"/>
          <w:rtl/>
        </w:rPr>
      </w:pPr>
      <w:r w:rsidRPr="00EF57F3">
        <w:rPr>
          <w:rFonts w:cstheme="minorHAnsi"/>
          <w:color w:val="FF0000"/>
          <w:rtl/>
        </w:rPr>
        <w:t>الهدف من الاختراع هو إنتاج آلة تكسير من هذا النوع، حيث يتم من خلال إنتاج الاهتزازات وتركيبها على حركة أداة الطحن، الحصول على تكسير أكثر كفاءة واقتصادية للصخور المعالجة في الآلة.</w:t>
      </w:r>
    </w:p>
    <w:p w14:paraId="5E1017B1" w14:textId="77777777" w:rsidR="001E68F4" w:rsidRPr="00EF57F3" w:rsidRDefault="0069769C" w:rsidP="00EF57F3">
      <w:pPr>
        <w:pStyle w:val="ListParagraph"/>
        <w:numPr>
          <w:ilvl w:val="0"/>
          <w:numId w:val="3"/>
        </w:numPr>
        <w:tabs>
          <w:tab w:val="left" w:pos="6630"/>
        </w:tabs>
        <w:bidi/>
        <w:spacing w:line="360" w:lineRule="auto"/>
        <w:jc w:val="both"/>
        <w:rPr>
          <w:rFonts w:cstheme="minorHAnsi"/>
          <w:b/>
          <w:bCs/>
          <w:sz w:val="24"/>
          <w:szCs w:val="24"/>
          <w:u w:val="single"/>
        </w:rPr>
      </w:pPr>
      <w:r w:rsidRPr="00EF57F3">
        <w:rPr>
          <w:rFonts w:cstheme="minorHAnsi"/>
          <w:b/>
          <w:bCs/>
          <w:sz w:val="24"/>
          <w:szCs w:val="24"/>
          <w:u w:val="single"/>
          <w:rtl/>
        </w:rPr>
        <w:t>وصف براءة الاختراع بالتفصيل:</w:t>
      </w:r>
    </w:p>
    <w:p w14:paraId="1B46D4EC" w14:textId="77777777" w:rsidR="005660B8" w:rsidRPr="005660B8" w:rsidRDefault="005660B8" w:rsidP="005660B8">
      <w:pPr>
        <w:pStyle w:val="ListParagraph"/>
        <w:bidi/>
        <w:spacing w:line="360" w:lineRule="auto"/>
        <w:ind w:left="-20"/>
        <w:jc w:val="both"/>
        <w:rPr>
          <w:rFonts w:cstheme="minorHAnsi"/>
          <w:color w:val="FF0000"/>
        </w:rPr>
      </w:pPr>
      <w:r w:rsidRPr="005660B8">
        <w:rPr>
          <w:rFonts w:cs="Calibri"/>
          <w:color w:val="FF0000"/>
          <w:rtl/>
        </w:rPr>
        <w:t>نحن نعلم أن الصخر المراد سحقه تعبره شقوق وشقوق شعرية وأنه باستخدام ذبذبات عالية التردد يمكننا من خلال التوترات الناتجة أن نتسبب في تمزق الكتلة الصخرية في موقع الشقوق أو الشقوق المذكورة.</w:t>
      </w:r>
    </w:p>
    <w:p w14:paraId="076325B3" w14:textId="77777777" w:rsidR="005660B8" w:rsidRPr="005660B8" w:rsidRDefault="005660B8" w:rsidP="005660B8">
      <w:pPr>
        <w:pStyle w:val="ListParagraph"/>
        <w:bidi/>
        <w:spacing w:line="360" w:lineRule="auto"/>
        <w:ind w:left="-20"/>
        <w:jc w:val="both"/>
        <w:rPr>
          <w:rFonts w:cstheme="minorHAnsi"/>
          <w:color w:val="FF0000"/>
        </w:rPr>
      </w:pPr>
      <w:r w:rsidRPr="005660B8">
        <w:rPr>
          <w:rFonts w:cs="Calibri"/>
          <w:color w:val="FF0000"/>
          <w:rtl/>
        </w:rPr>
        <w:t xml:space="preserve">تتميز آلة التكسير وفقًا للاختراع، بمحرك هيدروليكي أو محرك ميكانيكي ودعم هيدروليكي لأداة التكسير، حيث يتم تركيب مصدر الاهتزازات المرسلة إلى السائل الهيدروليكي في الدائرة الهيدروليكية للمحرك أو الدعامة اعتمادًا على </w:t>
      </w:r>
      <w:proofErr w:type="spellStart"/>
      <w:r w:rsidRPr="005660B8">
        <w:rPr>
          <w:rFonts w:cs="Calibri"/>
          <w:color w:val="FF0000"/>
          <w:rtl/>
        </w:rPr>
        <w:t>على</w:t>
      </w:r>
      <w:proofErr w:type="spellEnd"/>
      <w:r w:rsidRPr="005660B8">
        <w:rPr>
          <w:rFonts w:cs="Calibri"/>
          <w:color w:val="FF0000"/>
          <w:rtl/>
        </w:rPr>
        <w:t xml:space="preserve"> القضية.</w:t>
      </w:r>
    </w:p>
    <w:p w14:paraId="01A9EDD7" w14:textId="77777777" w:rsidR="005660B8" w:rsidRPr="005660B8" w:rsidRDefault="005660B8" w:rsidP="005660B8">
      <w:pPr>
        <w:pStyle w:val="ListParagraph"/>
        <w:bidi/>
        <w:spacing w:line="360" w:lineRule="auto"/>
        <w:ind w:left="-20"/>
        <w:jc w:val="both"/>
        <w:rPr>
          <w:rFonts w:cstheme="minorHAnsi"/>
          <w:color w:val="FF0000"/>
        </w:rPr>
      </w:pPr>
      <w:r w:rsidRPr="005660B8">
        <w:rPr>
          <w:rFonts w:cs="Calibri"/>
          <w:color w:val="FF0000"/>
          <w:rtl/>
        </w:rPr>
        <w:lastRenderedPageBreak/>
        <w:t>يمكن أن يتكون مصدر الاهتزازات هذا بشكل مفيد من مجموعة مكبس أسطوانة متصلة بالدائرة الهيدروليكية، تحدد شوط المكبس في الأسطوانة سعة الاهتزازات وتكرار حركتها الترددية الذي يحدد تردد الاهتزازات.</w:t>
      </w:r>
    </w:p>
    <w:p w14:paraId="6F161237" w14:textId="77777777" w:rsidR="005660B8" w:rsidRPr="005660B8" w:rsidRDefault="005660B8" w:rsidP="005660B8">
      <w:pPr>
        <w:pStyle w:val="ListParagraph"/>
        <w:bidi/>
        <w:spacing w:line="360" w:lineRule="auto"/>
        <w:ind w:left="-20"/>
        <w:jc w:val="both"/>
        <w:rPr>
          <w:rFonts w:cstheme="minorHAnsi"/>
          <w:color w:val="FF0000"/>
        </w:rPr>
      </w:pPr>
      <w:r w:rsidRPr="005660B8">
        <w:rPr>
          <w:rFonts w:cs="Calibri"/>
          <w:color w:val="FF0000"/>
          <w:rtl/>
        </w:rPr>
        <w:t>من الممكن أيضًا توفير مضخة ضبط في الدائرة الهيدروليكية كمولد اهتزاز على شكل مضخة مكبس، والتي يمكنها إنتاج عمود زيت متقطع بالشوط والتردد المناسبين.</w:t>
      </w:r>
    </w:p>
    <w:p w14:paraId="3CC5C244" w14:textId="77777777" w:rsidR="005660B8" w:rsidRPr="005660B8" w:rsidRDefault="005660B8" w:rsidP="005660B8">
      <w:pPr>
        <w:pStyle w:val="ListParagraph"/>
        <w:bidi/>
        <w:spacing w:line="360" w:lineRule="auto"/>
        <w:ind w:left="-20"/>
        <w:jc w:val="both"/>
        <w:rPr>
          <w:rFonts w:cstheme="minorHAnsi"/>
          <w:color w:val="FF0000"/>
        </w:rPr>
      </w:pPr>
      <w:r w:rsidRPr="005660B8">
        <w:rPr>
          <w:rFonts w:cs="Calibri"/>
          <w:color w:val="FF0000"/>
          <w:rtl/>
        </w:rPr>
        <w:t>أخيرًا، لإنتاج اهتزازات بالتردد والسعة المطلوبين، من الممكن توفير التحكم بواسطة موزع ومراكم هيدروليكي مثبتين في أسفل الدائرة.</w:t>
      </w:r>
    </w:p>
    <w:p w14:paraId="3578095A" w14:textId="09BA7A81" w:rsidR="00410439" w:rsidRPr="005660B8" w:rsidRDefault="005660B8" w:rsidP="005660B8">
      <w:pPr>
        <w:pStyle w:val="ListParagraph"/>
        <w:bidi/>
        <w:spacing w:line="360" w:lineRule="auto"/>
        <w:ind w:left="-20"/>
        <w:jc w:val="both"/>
        <w:rPr>
          <w:rFonts w:cs="Calibri"/>
          <w:color w:val="FF0000"/>
          <w:rtl/>
        </w:rPr>
      </w:pPr>
      <w:r w:rsidRPr="005660B8">
        <w:rPr>
          <w:rFonts w:cs="Calibri"/>
          <w:color w:val="FF0000"/>
          <w:rtl/>
        </w:rPr>
        <w:t xml:space="preserve">يمكن توفير كل هذه الوسائل لخلق اهتزازات لصالح الطحن مباشرة في الدائرة الهيدروليكية للمحرك، إذا كان هذا المحرك </w:t>
      </w:r>
      <w:proofErr w:type="spellStart"/>
      <w:r w:rsidRPr="005660B8">
        <w:rPr>
          <w:rFonts w:cs="Calibri"/>
          <w:color w:val="FF0000"/>
          <w:rtl/>
        </w:rPr>
        <w:t>هيدروليكيًا</w:t>
      </w:r>
      <w:proofErr w:type="spellEnd"/>
      <w:r w:rsidRPr="005660B8">
        <w:rPr>
          <w:rFonts w:cs="Calibri"/>
          <w:color w:val="FF0000"/>
          <w:rtl/>
        </w:rPr>
        <w:t xml:space="preserve"> أو في دعم أداة الطحن، إذا كان المحرك ميكانيكيًا.</w:t>
      </w:r>
    </w:p>
    <w:p w14:paraId="21C57265" w14:textId="77777777" w:rsidR="005660B8" w:rsidRPr="00EF57F3" w:rsidRDefault="005660B8" w:rsidP="005660B8">
      <w:pPr>
        <w:pStyle w:val="ListParagraph"/>
        <w:bidi/>
        <w:spacing w:line="360" w:lineRule="auto"/>
        <w:ind w:left="-20"/>
        <w:jc w:val="both"/>
        <w:rPr>
          <w:rFonts w:cstheme="minorHAnsi"/>
        </w:rPr>
      </w:pPr>
    </w:p>
    <w:p w14:paraId="1446D8A8" w14:textId="624865C5" w:rsidR="00341F4E" w:rsidRPr="00EF57F3" w:rsidRDefault="00EF57F3" w:rsidP="00EF57F3">
      <w:pPr>
        <w:pStyle w:val="ListParagraph"/>
        <w:tabs>
          <w:tab w:val="left" w:pos="6630"/>
        </w:tabs>
        <w:bidi/>
        <w:spacing w:line="360" w:lineRule="auto"/>
        <w:jc w:val="both"/>
        <w:rPr>
          <w:rFonts w:cstheme="minorHAnsi"/>
          <w:b/>
          <w:bCs/>
          <w:u w:val="single"/>
          <w:rtl/>
        </w:rPr>
      </w:pPr>
      <w:r w:rsidRPr="00EF57F3">
        <w:rPr>
          <w:rFonts w:cstheme="minorHAnsi" w:hint="cs"/>
          <w:b/>
          <w:bCs/>
          <w:rtl/>
          <w:lang w:val="en-US" w:bidi="ar-DZ"/>
        </w:rPr>
        <w:t xml:space="preserve">5-1: </w:t>
      </w:r>
      <w:r w:rsidR="00341F4E" w:rsidRPr="00EF57F3">
        <w:rPr>
          <w:rFonts w:cstheme="minorHAnsi"/>
          <w:b/>
          <w:bCs/>
          <w:u w:val="single"/>
          <w:rtl/>
        </w:rPr>
        <w:t>شرح الأشكال والرسومات: (دون وضعها في الوصف)</w:t>
      </w:r>
    </w:p>
    <w:p w14:paraId="1358A588" w14:textId="77777777" w:rsidR="00410439" w:rsidRPr="00EF57F3" w:rsidRDefault="00410439" w:rsidP="00EF57F3">
      <w:pPr>
        <w:tabs>
          <w:tab w:val="left" w:pos="6630"/>
        </w:tabs>
        <w:bidi/>
        <w:spacing w:line="360" w:lineRule="auto"/>
        <w:jc w:val="both"/>
        <w:rPr>
          <w:rFonts w:cstheme="minorHAnsi"/>
          <w:color w:val="FF0000"/>
        </w:rPr>
      </w:pPr>
      <w:r w:rsidRPr="00EF57F3">
        <w:rPr>
          <w:rFonts w:cstheme="minorHAnsi"/>
          <w:color w:val="FF0000"/>
          <w:rtl/>
        </w:rPr>
        <w:t>على أية حال، سيتم فهم الاختراع بوضوح بمساعدة الوصف التالي، مع الإشارة إلى الرسم التخطيطي الملحق، الذي يمثل، على سبيل المثال لا الحصر، عدة نماذج لهذه الآلة:</w:t>
      </w:r>
    </w:p>
    <w:p w14:paraId="4AD314A4" w14:textId="575C7171" w:rsidR="00410439" w:rsidRPr="00EF57F3" w:rsidRDefault="00410439" w:rsidP="00EF57F3">
      <w:pPr>
        <w:pStyle w:val="ListParagraph"/>
        <w:numPr>
          <w:ilvl w:val="0"/>
          <w:numId w:val="5"/>
        </w:numPr>
        <w:bidi/>
        <w:spacing w:line="360" w:lineRule="auto"/>
        <w:jc w:val="both"/>
        <w:rPr>
          <w:rFonts w:cstheme="minorHAnsi"/>
          <w:color w:val="FF0000"/>
        </w:rPr>
      </w:pPr>
      <w:r w:rsidRPr="00EF57F3">
        <w:rPr>
          <w:rFonts w:cstheme="minorHAnsi"/>
          <w:color w:val="FF0000"/>
          <w:rtl/>
        </w:rPr>
        <w:t>الشكل 1: عبارة عن منظر مرتفع ومقطع جزئيًا للكسارة الفكية ذات التبديل المزدوج، حيث يقوم جزء الدائرة الهيدروليكية بتوليد الاهتزازات؛</w:t>
      </w:r>
    </w:p>
    <w:p w14:paraId="1ECBC74C" w14:textId="3FB64C47" w:rsidR="00410439" w:rsidRPr="00EF57F3" w:rsidRDefault="00410439" w:rsidP="00EF57F3">
      <w:pPr>
        <w:pStyle w:val="ListParagraph"/>
        <w:numPr>
          <w:ilvl w:val="0"/>
          <w:numId w:val="5"/>
        </w:numPr>
        <w:bidi/>
        <w:spacing w:line="360" w:lineRule="auto"/>
        <w:jc w:val="both"/>
        <w:rPr>
          <w:rFonts w:cstheme="minorHAnsi"/>
          <w:color w:val="FF0000"/>
        </w:rPr>
      </w:pPr>
      <w:r w:rsidRPr="00EF57F3">
        <w:rPr>
          <w:rFonts w:cstheme="minorHAnsi"/>
          <w:color w:val="FF0000"/>
          <w:rtl/>
        </w:rPr>
        <w:t>الشكل 1</w:t>
      </w:r>
      <w:r w:rsidR="00C309A4" w:rsidRPr="00EF57F3">
        <w:rPr>
          <w:rFonts w:cstheme="minorHAnsi"/>
          <w:color w:val="FF0000"/>
        </w:rPr>
        <w:t>a</w:t>
      </w:r>
      <w:r w:rsidRPr="00EF57F3">
        <w:rPr>
          <w:rFonts w:cstheme="minorHAnsi"/>
          <w:color w:val="FF0000"/>
          <w:rtl/>
        </w:rPr>
        <w:t>: يعرض شكلاً مختلفًا لمولد الاهتزاز؛</w:t>
      </w:r>
    </w:p>
    <w:p w14:paraId="0AA981C9" w14:textId="6715A19B" w:rsidR="00410439" w:rsidRPr="00EF57F3" w:rsidRDefault="00410439" w:rsidP="00EF57F3">
      <w:pPr>
        <w:pStyle w:val="ListParagraph"/>
        <w:numPr>
          <w:ilvl w:val="0"/>
          <w:numId w:val="5"/>
        </w:numPr>
        <w:bidi/>
        <w:spacing w:line="360" w:lineRule="auto"/>
        <w:jc w:val="both"/>
        <w:rPr>
          <w:rFonts w:cstheme="minorHAnsi"/>
          <w:color w:val="FF0000"/>
        </w:rPr>
      </w:pPr>
      <w:r w:rsidRPr="00EF57F3">
        <w:rPr>
          <w:rFonts w:cstheme="minorHAnsi"/>
          <w:color w:val="FF0000"/>
          <w:rtl/>
        </w:rPr>
        <w:t>الشكل 2: عبارة عن عرض تخطيطي للغاية للكسارة المخروطية ومولد الاهتزاز؛</w:t>
      </w:r>
    </w:p>
    <w:p w14:paraId="4637B557" w14:textId="6E20DB21" w:rsidR="00341F4E" w:rsidRPr="00EF57F3" w:rsidRDefault="00410439" w:rsidP="00EF57F3">
      <w:pPr>
        <w:pStyle w:val="ListParagraph"/>
        <w:numPr>
          <w:ilvl w:val="0"/>
          <w:numId w:val="5"/>
        </w:numPr>
        <w:bidi/>
        <w:spacing w:line="360" w:lineRule="auto"/>
        <w:jc w:val="both"/>
        <w:rPr>
          <w:rFonts w:cstheme="minorHAnsi"/>
          <w:color w:val="FF0000"/>
        </w:rPr>
      </w:pPr>
      <w:r w:rsidRPr="00EF57F3">
        <w:rPr>
          <w:rFonts w:cstheme="minorHAnsi"/>
          <w:color w:val="FF0000"/>
          <w:rtl/>
        </w:rPr>
        <w:t>يمثل الشكل 2</w:t>
      </w:r>
      <w:r w:rsidR="00C309A4" w:rsidRPr="00EF57F3">
        <w:rPr>
          <w:rFonts w:cstheme="minorHAnsi"/>
          <w:color w:val="FF0000"/>
        </w:rPr>
        <w:t>a</w:t>
      </w:r>
      <w:r w:rsidRPr="00EF57F3">
        <w:rPr>
          <w:rFonts w:cstheme="minorHAnsi"/>
          <w:color w:val="FF0000"/>
          <w:rtl/>
        </w:rPr>
        <w:t>: البديل المقابل لهذا المولد.</w:t>
      </w:r>
    </w:p>
    <w:p w14:paraId="673992C8" w14:textId="13726F75" w:rsidR="00C309A4" w:rsidRPr="00EF57F3" w:rsidRDefault="00C309A4" w:rsidP="00EF57F3">
      <w:pPr>
        <w:pStyle w:val="ListParagraph"/>
        <w:numPr>
          <w:ilvl w:val="0"/>
          <w:numId w:val="5"/>
        </w:numPr>
        <w:bidi/>
        <w:spacing w:line="360" w:lineRule="auto"/>
        <w:jc w:val="both"/>
        <w:rPr>
          <w:rFonts w:cstheme="minorHAnsi"/>
          <w:color w:val="FF0000"/>
        </w:rPr>
      </w:pPr>
      <w:r w:rsidRPr="00EF57F3">
        <w:rPr>
          <w:rFonts w:cstheme="minorHAnsi"/>
          <w:color w:val="FF0000"/>
          <w:rtl/>
        </w:rPr>
        <w:t>(</w:t>
      </w:r>
      <w:r w:rsidRPr="00EF57F3">
        <w:rPr>
          <w:rFonts w:cstheme="minorHAnsi"/>
          <w:rtl/>
        </w:rPr>
        <w:t>يجب أيضا تسمية كل العناصر المرقمة في الرسومات التوضيحية</w:t>
      </w:r>
      <w:r w:rsidRPr="00EF57F3">
        <w:rPr>
          <w:rFonts w:cstheme="minorHAnsi"/>
          <w:color w:val="FF0000"/>
          <w:rtl/>
        </w:rPr>
        <w:t>)</w:t>
      </w:r>
      <w:r w:rsidRPr="00EF57F3">
        <w:rPr>
          <w:rFonts w:cstheme="minorHAnsi"/>
          <w:color w:val="FF0000"/>
          <w:rtl/>
          <w:lang w:val="en-US" w:bidi="ar-DZ"/>
        </w:rPr>
        <w:t>.</w:t>
      </w:r>
    </w:p>
    <w:p w14:paraId="55E7007F" w14:textId="77777777" w:rsidR="00C309A4" w:rsidRPr="00EF57F3" w:rsidRDefault="00C309A4" w:rsidP="00EF57F3">
      <w:pPr>
        <w:bidi/>
        <w:spacing w:line="360" w:lineRule="auto"/>
        <w:jc w:val="both"/>
        <w:rPr>
          <w:rFonts w:cstheme="minorHAnsi"/>
        </w:rPr>
      </w:pPr>
    </w:p>
    <w:p w14:paraId="2A69C51B" w14:textId="51941FC6" w:rsidR="004040B6" w:rsidRPr="00EF57F3" w:rsidRDefault="00EF57F3" w:rsidP="00EF57F3">
      <w:pPr>
        <w:pStyle w:val="ListParagraph"/>
        <w:tabs>
          <w:tab w:val="left" w:pos="6630"/>
        </w:tabs>
        <w:bidi/>
        <w:spacing w:line="360" w:lineRule="auto"/>
        <w:jc w:val="both"/>
        <w:rPr>
          <w:rFonts w:cstheme="minorHAnsi"/>
          <w:b/>
          <w:bCs/>
          <w:lang w:val="en-US" w:bidi="ar-DZ"/>
        </w:rPr>
      </w:pPr>
      <w:r w:rsidRPr="005660B8">
        <w:rPr>
          <w:rFonts w:cstheme="minorHAnsi" w:hint="cs"/>
          <w:b/>
          <w:bCs/>
          <w:rtl/>
          <w:lang w:val="en-US" w:bidi="ar-DZ"/>
        </w:rPr>
        <w:t xml:space="preserve">5-2: </w:t>
      </w:r>
      <w:r w:rsidR="005660B8" w:rsidRPr="005660B8">
        <w:rPr>
          <w:rFonts w:cstheme="minorHAnsi"/>
          <w:b/>
          <w:bCs/>
          <w:u w:val="single"/>
          <w:rtl/>
          <w:lang w:val="en-US" w:bidi="ar-DZ"/>
        </w:rPr>
        <w:t xml:space="preserve">طريقة </w:t>
      </w:r>
      <w:r w:rsidR="005660B8" w:rsidRPr="005660B8">
        <w:rPr>
          <w:rFonts w:cstheme="minorHAnsi" w:hint="cs"/>
          <w:b/>
          <w:bCs/>
          <w:u w:val="single"/>
          <w:rtl/>
          <w:lang w:val="en-US" w:bidi="ar-DZ"/>
        </w:rPr>
        <w:t>عمل</w:t>
      </w:r>
      <w:r w:rsidR="004040B6" w:rsidRPr="00EF57F3">
        <w:rPr>
          <w:rFonts w:cstheme="minorHAnsi"/>
          <w:b/>
          <w:bCs/>
          <w:u w:val="single"/>
          <w:rtl/>
          <w:lang w:val="en-US" w:bidi="ar-DZ"/>
        </w:rPr>
        <w:t xml:space="preserve"> الاختراع:</w:t>
      </w:r>
    </w:p>
    <w:p w14:paraId="5B29FAC4" w14:textId="0EAABAAF" w:rsidR="00C309A4" w:rsidRPr="00EF57F3" w:rsidRDefault="00C309A4" w:rsidP="00EF57F3">
      <w:pPr>
        <w:bidi/>
        <w:spacing w:line="360" w:lineRule="auto"/>
        <w:jc w:val="both"/>
        <w:rPr>
          <w:rFonts w:cstheme="minorHAnsi"/>
          <w:color w:val="FF0000"/>
        </w:rPr>
      </w:pPr>
      <w:r w:rsidRPr="00EF57F3">
        <w:rPr>
          <w:rFonts w:cstheme="minorHAnsi"/>
          <w:color w:val="FF0000"/>
          <w:rtl/>
        </w:rPr>
        <w:t>في الكسارة الموضحة في الشكل. 1، يتم تثبيت الفك 1 بشكل محوري على محور 2 مثبت بالإطار 3 للآلة وبالتالي يمكنه التحرك باتجاه الفك الثابت 4 وبعيدًا عنه. تنتقل الحركة إلى الفك المتحرك 1 بواسطة نظام غريب الأطوار 5، عبر قضيب توصيل 6 ولوحتان دافعتان 7 و8، واحدة منهما 7 تحرك الفك 1، في حين أن الـ 8 الأخرى مثبتة على نظام الدعم.</w:t>
      </w:r>
    </w:p>
    <w:p w14:paraId="74862078" w14:textId="77777777" w:rsidR="00C309A4" w:rsidRPr="00EF57F3" w:rsidRDefault="00C309A4" w:rsidP="00EF57F3">
      <w:pPr>
        <w:bidi/>
        <w:spacing w:line="360" w:lineRule="auto"/>
        <w:jc w:val="both"/>
        <w:rPr>
          <w:rFonts w:cstheme="minorHAnsi"/>
          <w:color w:val="FF0000"/>
        </w:rPr>
      </w:pPr>
      <w:r w:rsidRPr="00EF57F3">
        <w:rPr>
          <w:rFonts w:cstheme="minorHAnsi"/>
          <w:color w:val="FF0000"/>
          <w:rtl/>
        </w:rPr>
        <w:t>يتم توفير أسطوانة 9 على الفك المتحرك 4، حيث ينزلق المكبس 10 والذي يمكن ملؤه أكثر أو أقل بسائل مضغوط قادم من مصدر 11، مما يجعل من الممكن ضبط عرض مساحة الطحن 12 في نفس الوقت مع مرور الوقت، يمكن للأسطوانة 9، بمساعدة المركم 13 المتوفرة في الدائرة الهيدروليكية، أن تكون بمثابة حماية ضد الأحمال الزائدة.</w:t>
      </w:r>
    </w:p>
    <w:p w14:paraId="589891AE" w14:textId="77777777" w:rsidR="00C309A4" w:rsidRPr="00EF57F3" w:rsidRDefault="00C309A4" w:rsidP="00EF57F3">
      <w:pPr>
        <w:bidi/>
        <w:spacing w:line="360" w:lineRule="auto"/>
        <w:jc w:val="both"/>
        <w:rPr>
          <w:rFonts w:cstheme="minorHAnsi"/>
          <w:color w:val="FF0000"/>
        </w:rPr>
      </w:pPr>
      <w:r w:rsidRPr="00EF57F3">
        <w:rPr>
          <w:rFonts w:cstheme="minorHAnsi"/>
          <w:color w:val="FF0000"/>
          <w:rtl/>
        </w:rPr>
        <w:t>ونحن نعلم أنه بسبب وجود الشقوق الشعرية والشقوق التي تعبرها دائمًا، يمكن للصخور أن تتكسر، ليس فقط عن طريق الضغوط المتكررة على مدى فترة متواصلة، ولكن أيضًا تحت تأثير الاهتزازات التي تعمل على مستوى الشقوق والشقوق. .</w:t>
      </w:r>
    </w:p>
    <w:p w14:paraId="7019A43D" w14:textId="6EE321DD" w:rsidR="00C309A4" w:rsidRPr="00EF57F3" w:rsidRDefault="00C309A4" w:rsidP="00EF57F3">
      <w:pPr>
        <w:bidi/>
        <w:spacing w:line="360" w:lineRule="auto"/>
        <w:jc w:val="both"/>
        <w:rPr>
          <w:rFonts w:cstheme="minorHAnsi"/>
          <w:color w:val="FF0000"/>
        </w:rPr>
      </w:pPr>
      <w:r w:rsidRPr="00EF57F3">
        <w:rPr>
          <w:rFonts w:cstheme="minorHAnsi"/>
          <w:color w:val="FF0000"/>
          <w:rtl/>
        </w:rPr>
        <w:t>لتركيب اهتزازات عالية التردد على حركة التثبيت للفك المتحرك 1، من المخطط وفقًا للاختراع تركيب مولد اهتزاز بالتوازي مع الدائرة الهيدروليكية على شكل أسطوانة 14، حيث ينزلق مكبس 15.</w:t>
      </w:r>
    </w:p>
    <w:p w14:paraId="22BEA4CF" w14:textId="77777777" w:rsidR="00C309A4" w:rsidRPr="00EF57F3" w:rsidRDefault="00C309A4" w:rsidP="00EF57F3">
      <w:pPr>
        <w:bidi/>
        <w:spacing w:line="360" w:lineRule="auto"/>
        <w:jc w:val="both"/>
        <w:rPr>
          <w:rFonts w:cstheme="minorHAnsi"/>
          <w:color w:val="FF0000"/>
        </w:rPr>
      </w:pPr>
      <w:r w:rsidRPr="00EF57F3">
        <w:rPr>
          <w:rFonts w:cstheme="minorHAnsi"/>
          <w:color w:val="FF0000"/>
          <w:rtl/>
        </w:rPr>
        <w:lastRenderedPageBreak/>
        <w:t>لكي تصل هذه الاهتزازات إلى الفك 1 دون فقد، يتم وضع موزع 16 ذو تحكم كهرومغناطيسي على الدائرة الهيدروليكية الأساسية حتى يتمكن من فصل المركم 13 ومصدر السائل المضغوط 11. ويتم التحكم في الموزع 16 عن طريق الضغط قم بالتبديل 17 عندما يصل الضغط إلى قيمة محددة مسبقًا قابلة للتعديل. تنتقل الاهتزازات الناتجة في الأسطوانة 14 بواسطة المكبس 15 إلى الأسطوانة 9 على الفك المتحرك 1 ويتم تركيبها على حركات الطحن الميكانيكية للوصول إلى الصخور المراد سحقها.</w:t>
      </w:r>
    </w:p>
    <w:p w14:paraId="06C55B5D" w14:textId="77777777" w:rsidR="00C309A4" w:rsidRPr="00EF57F3" w:rsidRDefault="00C309A4" w:rsidP="00EF57F3">
      <w:pPr>
        <w:bidi/>
        <w:spacing w:line="360" w:lineRule="auto"/>
        <w:jc w:val="both"/>
        <w:rPr>
          <w:rFonts w:cstheme="minorHAnsi"/>
          <w:color w:val="FF0000"/>
        </w:rPr>
      </w:pPr>
      <w:r w:rsidRPr="00EF57F3">
        <w:rPr>
          <w:rFonts w:cstheme="minorHAnsi"/>
          <w:color w:val="FF0000"/>
          <w:rtl/>
        </w:rPr>
        <w:t>الكسارة المخروطية الموضحة في الشكل. 2 يمكن تجهيزها بمولد اهتزاز ينتج نفس التأثير. في هذه الكسارة، يقوم مخروط الطحن 21 بإجراء حركة دوارة حول محور رأسي.</w:t>
      </w:r>
    </w:p>
    <w:p w14:paraId="5C4EC12C" w14:textId="77777777" w:rsidR="00C309A4" w:rsidRPr="00EF57F3" w:rsidRDefault="00C309A4" w:rsidP="00EF57F3">
      <w:pPr>
        <w:bidi/>
        <w:spacing w:line="360" w:lineRule="auto"/>
        <w:jc w:val="both"/>
        <w:rPr>
          <w:rFonts w:cstheme="minorHAnsi"/>
          <w:color w:val="FF0000"/>
        </w:rPr>
      </w:pPr>
      <w:r w:rsidRPr="00EF57F3">
        <w:rPr>
          <w:rFonts w:cstheme="minorHAnsi"/>
          <w:color w:val="FF0000"/>
          <w:rtl/>
        </w:rPr>
        <w:t xml:space="preserve">يتم دعم هذا المخروط 21 </w:t>
      </w:r>
      <w:proofErr w:type="spellStart"/>
      <w:r w:rsidRPr="00EF57F3">
        <w:rPr>
          <w:rFonts w:cstheme="minorHAnsi"/>
          <w:color w:val="FF0000"/>
          <w:rtl/>
        </w:rPr>
        <w:t>هيدروليكيًا</w:t>
      </w:r>
      <w:proofErr w:type="spellEnd"/>
      <w:r w:rsidRPr="00EF57F3">
        <w:rPr>
          <w:rFonts w:cstheme="minorHAnsi"/>
          <w:color w:val="FF0000"/>
          <w:rtl/>
        </w:rPr>
        <w:t xml:space="preserve"> عن طريق أسطوانة 22 ومكبس 23. تتيح مجموعة مكبس الأسطوانة هذه أيضًا ضبط عرض مساحة الطحن 12. كما يتوفر مصدر 11 للسائل الهيدروليكي ومراكم 13 كحماية ضد الأحمال الزائدة. يتم نقل الاهتزازات إلى الصخر كما في التجسيد الموضح بالإشارة إلى الشكل. 1.</w:t>
      </w:r>
    </w:p>
    <w:p w14:paraId="54558C46" w14:textId="77777777" w:rsidR="00C309A4" w:rsidRPr="00EF57F3" w:rsidRDefault="00C309A4" w:rsidP="00EF57F3">
      <w:pPr>
        <w:bidi/>
        <w:spacing w:line="360" w:lineRule="auto"/>
        <w:jc w:val="both"/>
        <w:rPr>
          <w:rFonts w:cstheme="minorHAnsi"/>
          <w:color w:val="FF0000"/>
        </w:rPr>
      </w:pPr>
      <w:r w:rsidRPr="00EF57F3">
        <w:rPr>
          <w:rFonts w:cstheme="minorHAnsi"/>
          <w:color w:val="FF0000"/>
          <w:rtl/>
        </w:rPr>
        <w:t xml:space="preserve">تين. يمثل كل من </w:t>
      </w:r>
      <w:r w:rsidRPr="00EF57F3">
        <w:rPr>
          <w:rFonts w:cstheme="minorHAnsi"/>
          <w:color w:val="FF0000"/>
        </w:rPr>
        <w:t>la</w:t>
      </w:r>
      <w:r w:rsidRPr="00EF57F3">
        <w:rPr>
          <w:rFonts w:cstheme="minorHAnsi"/>
          <w:color w:val="FF0000"/>
          <w:rtl/>
        </w:rPr>
        <w:t xml:space="preserve"> و2</w:t>
      </w:r>
      <w:r w:rsidRPr="00EF57F3">
        <w:rPr>
          <w:rFonts w:cstheme="minorHAnsi"/>
          <w:color w:val="FF0000"/>
        </w:rPr>
        <w:t>a</w:t>
      </w:r>
      <w:r w:rsidRPr="00EF57F3">
        <w:rPr>
          <w:rFonts w:cstheme="minorHAnsi"/>
          <w:color w:val="FF0000"/>
          <w:rtl/>
        </w:rPr>
        <w:t xml:space="preserve"> نوعًا مختلفًا من مولد الاهتزاز في الدائرة الهيدروليكية. يتم توفير مضخة مكبس هنا، والتي يمكن تعديل طولها وترددها. تم تعيين هذه المضخة كمرجع 18.</w:t>
      </w:r>
    </w:p>
    <w:p w14:paraId="2815BD3A" w14:textId="180E248C" w:rsidR="00045205" w:rsidRPr="00EF57F3" w:rsidRDefault="00C309A4" w:rsidP="00EF57F3">
      <w:pPr>
        <w:bidi/>
        <w:spacing w:line="360" w:lineRule="auto"/>
        <w:jc w:val="both"/>
        <w:rPr>
          <w:rFonts w:cstheme="minorHAnsi"/>
          <w:color w:val="FF0000"/>
        </w:rPr>
      </w:pPr>
      <w:r w:rsidRPr="00EF57F3">
        <w:rPr>
          <w:rFonts w:cstheme="minorHAnsi"/>
          <w:color w:val="FF0000"/>
          <w:rtl/>
        </w:rPr>
        <w:t>لا يزال هناك شكل آخر من أشكال التنفيذ ممكنًا، باستخدام مركم هيدروليكي وتحكم بواسطة الموزع. لشحن هذا المجمع وفقًا لاستهلاك الطاقة أثناء إنتاج الاهتزازات. سيكون من الضروري توفير مضخة هيدروليكية يتم التحكم فيها عن طريق التحكم في الضغط.</w:t>
      </w:r>
    </w:p>
    <w:sectPr w:rsidR="00045205" w:rsidRPr="00EF57F3" w:rsidSect="00704994">
      <w:footerReference w:type="default" r:id="rId7"/>
      <w:pgSz w:w="11906" w:h="16838"/>
      <w:pgMar w:top="1418" w:right="1418" w:bottom="1418" w:left="1418" w:header="709" w:footer="709" w:gutter="0"/>
      <w:lnNumType w:countBy="5" w:restart="continuous"/>
      <w:cols w:space="708"/>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EB3F5" w14:textId="77777777" w:rsidR="00704994" w:rsidRDefault="00704994" w:rsidP="00BB23D5">
      <w:pPr>
        <w:spacing w:after="0" w:line="240" w:lineRule="auto"/>
      </w:pPr>
      <w:r>
        <w:separator/>
      </w:r>
    </w:p>
  </w:endnote>
  <w:endnote w:type="continuationSeparator" w:id="0">
    <w:p w14:paraId="02E92723" w14:textId="77777777" w:rsidR="00704994" w:rsidRDefault="00704994" w:rsidP="00BB2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4488158"/>
      <w:docPartObj>
        <w:docPartGallery w:val="Page Numbers (Bottom of Page)"/>
        <w:docPartUnique/>
      </w:docPartObj>
    </w:sdtPr>
    <w:sdtContent>
      <w:p w14:paraId="7F0E3C28" w14:textId="77777777" w:rsidR="00E00ABB" w:rsidRDefault="00000000">
        <w:pPr>
          <w:pStyle w:val="Footer"/>
          <w:jc w:val="center"/>
        </w:pPr>
        <w:r>
          <w:fldChar w:fldCharType="begin"/>
        </w:r>
        <w:r>
          <w:instrText xml:space="preserve"> PAGE   \* MERGEFORMAT </w:instrText>
        </w:r>
        <w:r>
          <w:fldChar w:fldCharType="separate"/>
        </w:r>
        <w:r w:rsidR="00282F1E">
          <w:rPr>
            <w:noProof/>
          </w:rPr>
          <w:t>2</w:t>
        </w:r>
        <w:r>
          <w:rPr>
            <w:noProof/>
          </w:rPr>
          <w:fldChar w:fldCharType="end"/>
        </w:r>
      </w:p>
    </w:sdtContent>
  </w:sdt>
  <w:p w14:paraId="6026BA79" w14:textId="77777777" w:rsidR="00E00ABB" w:rsidRDefault="00E00A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0B8F3" w14:textId="77777777" w:rsidR="00704994" w:rsidRDefault="00704994" w:rsidP="00BB23D5">
      <w:pPr>
        <w:spacing w:after="0" w:line="240" w:lineRule="auto"/>
      </w:pPr>
      <w:r>
        <w:separator/>
      </w:r>
    </w:p>
  </w:footnote>
  <w:footnote w:type="continuationSeparator" w:id="0">
    <w:p w14:paraId="2C4A9CD5" w14:textId="77777777" w:rsidR="00704994" w:rsidRDefault="00704994" w:rsidP="00BB23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660592"/>
    <w:multiLevelType w:val="multilevel"/>
    <w:tmpl w:val="DFC05A4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2BA0A2B"/>
    <w:multiLevelType w:val="hybridMultilevel"/>
    <w:tmpl w:val="342840DA"/>
    <w:lvl w:ilvl="0" w:tplc="3F8641A6">
      <w:start w:val="1"/>
      <w:numFmt w:val="decimal"/>
      <w:lvlText w:val="%1-"/>
      <w:lvlJc w:val="left"/>
      <w:pPr>
        <w:ind w:left="720" w:hanging="360"/>
      </w:pPr>
      <w:rPr>
        <w:rFonts w:cs="Arial"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A523AD3"/>
    <w:multiLevelType w:val="hybridMultilevel"/>
    <w:tmpl w:val="07F4569C"/>
    <w:lvl w:ilvl="0" w:tplc="3F8E7744">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89F664F"/>
    <w:multiLevelType w:val="hybridMultilevel"/>
    <w:tmpl w:val="65341156"/>
    <w:lvl w:ilvl="0" w:tplc="09CE9B5A">
      <w:start w:val="4"/>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720627DB"/>
    <w:multiLevelType w:val="hybridMultilevel"/>
    <w:tmpl w:val="275081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60894889">
    <w:abstractNumId w:val="2"/>
  </w:num>
  <w:num w:numId="2" w16cid:durableId="473958716">
    <w:abstractNumId w:val="3"/>
  </w:num>
  <w:num w:numId="3" w16cid:durableId="823157610">
    <w:abstractNumId w:val="1"/>
  </w:num>
  <w:num w:numId="4" w16cid:durableId="844325990">
    <w:abstractNumId w:val="0"/>
  </w:num>
  <w:num w:numId="5" w16cid:durableId="13542651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68F4"/>
    <w:rsid w:val="000330CE"/>
    <w:rsid w:val="00045205"/>
    <w:rsid w:val="000507DF"/>
    <w:rsid w:val="00050973"/>
    <w:rsid w:val="00050A8B"/>
    <w:rsid w:val="00082103"/>
    <w:rsid w:val="000A1DC9"/>
    <w:rsid w:val="000B08CE"/>
    <w:rsid w:val="000B6A72"/>
    <w:rsid w:val="000C5302"/>
    <w:rsid w:val="000D39AA"/>
    <w:rsid w:val="000F0087"/>
    <w:rsid w:val="000F7D4A"/>
    <w:rsid w:val="00124E8E"/>
    <w:rsid w:val="00127265"/>
    <w:rsid w:val="00130B96"/>
    <w:rsid w:val="001365C6"/>
    <w:rsid w:val="0014675A"/>
    <w:rsid w:val="001A70E7"/>
    <w:rsid w:val="001B0B00"/>
    <w:rsid w:val="001B2394"/>
    <w:rsid w:val="001B4F21"/>
    <w:rsid w:val="001E68F4"/>
    <w:rsid w:val="001F1060"/>
    <w:rsid w:val="001F2DAC"/>
    <w:rsid w:val="001F745F"/>
    <w:rsid w:val="002020C3"/>
    <w:rsid w:val="0021619C"/>
    <w:rsid w:val="0023043B"/>
    <w:rsid w:val="002338C2"/>
    <w:rsid w:val="00282F1E"/>
    <w:rsid w:val="00292150"/>
    <w:rsid w:val="002B2062"/>
    <w:rsid w:val="002B6FEE"/>
    <w:rsid w:val="002C0569"/>
    <w:rsid w:val="002D0A46"/>
    <w:rsid w:val="002D4353"/>
    <w:rsid w:val="002E0D42"/>
    <w:rsid w:val="002E0FE2"/>
    <w:rsid w:val="002E57E5"/>
    <w:rsid w:val="00341F4E"/>
    <w:rsid w:val="00342393"/>
    <w:rsid w:val="0034626E"/>
    <w:rsid w:val="00357F0B"/>
    <w:rsid w:val="00373494"/>
    <w:rsid w:val="003778A0"/>
    <w:rsid w:val="003841E4"/>
    <w:rsid w:val="00387D5D"/>
    <w:rsid w:val="00392EED"/>
    <w:rsid w:val="003936B9"/>
    <w:rsid w:val="0039387B"/>
    <w:rsid w:val="003B7E15"/>
    <w:rsid w:val="003D0894"/>
    <w:rsid w:val="003D4A72"/>
    <w:rsid w:val="003E28D1"/>
    <w:rsid w:val="003F1160"/>
    <w:rsid w:val="003F138A"/>
    <w:rsid w:val="00401313"/>
    <w:rsid w:val="004040B6"/>
    <w:rsid w:val="00404ADC"/>
    <w:rsid w:val="00410439"/>
    <w:rsid w:val="00433873"/>
    <w:rsid w:val="004504F6"/>
    <w:rsid w:val="0045499E"/>
    <w:rsid w:val="0046744A"/>
    <w:rsid w:val="0048203B"/>
    <w:rsid w:val="004964DF"/>
    <w:rsid w:val="004A5DC2"/>
    <w:rsid w:val="004B459A"/>
    <w:rsid w:val="004B6400"/>
    <w:rsid w:val="004C0391"/>
    <w:rsid w:val="004C1A75"/>
    <w:rsid w:val="004C7C77"/>
    <w:rsid w:val="004D2891"/>
    <w:rsid w:val="0050317D"/>
    <w:rsid w:val="00540D88"/>
    <w:rsid w:val="00544987"/>
    <w:rsid w:val="005452D4"/>
    <w:rsid w:val="0055257D"/>
    <w:rsid w:val="00560637"/>
    <w:rsid w:val="005660B8"/>
    <w:rsid w:val="0058276D"/>
    <w:rsid w:val="00587B32"/>
    <w:rsid w:val="005B49DA"/>
    <w:rsid w:val="005D043B"/>
    <w:rsid w:val="005D28DC"/>
    <w:rsid w:val="005D2F0A"/>
    <w:rsid w:val="00624DC3"/>
    <w:rsid w:val="006274A8"/>
    <w:rsid w:val="006315F3"/>
    <w:rsid w:val="0063413E"/>
    <w:rsid w:val="00650935"/>
    <w:rsid w:val="00650EC0"/>
    <w:rsid w:val="00660EB5"/>
    <w:rsid w:val="0068167C"/>
    <w:rsid w:val="0069769C"/>
    <w:rsid w:val="006C536D"/>
    <w:rsid w:val="006D3D04"/>
    <w:rsid w:val="006E4D47"/>
    <w:rsid w:val="006F1BC8"/>
    <w:rsid w:val="00701E0D"/>
    <w:rsid w:val="00704994"/>
    <w:rsid w:val="00711EE7"/>
    <w:rsid w:val="00712E3A"/>
    <w:rsid w:val="007159DE"/>
    <w:rsid w:val="00722935"/>
    <w:rsid w:val="00725F98"/>
    <w:rsid w:val="00727C3D"/>
    <w:rsid w:val="00734A4B"/>
    <w:rsid w:val="00735F6F"/>
    <w:rsid w:val="00753B41"/>
    <w:rsid w:val="007556DF"/>
    <w:rsid w:val="00756531"/>
    <w:rsid w:val="007604A6"/>
    <w:rsid w:val="00786C66"/>
    <w:rsid w:val="007A48AA"/>
    <w:rsid w:val="007A702A"/>
    <w:rsid w:val="007B22CE"/>
    <w:rsid w:val="007D445E"/>
    <w:rsid w:val="007F4335"/>
    <w:rsid w:val="00806A3F"/>
    <w:rsid w:val="00836C37"/>
    <w:rsid w:val="00876E87"/>
    <w:rsid w:val="00883549"/>
    <w:rsid w:val="00883E2E"/>
    <w:rsid w:val="008A050A"/>
    <w:rsid w:val="008A3B24"/>
    <w:rsid w:val="008B0162"/>
    <w:rsid w:val="008B01D0"/>
    <w:rsid w:val="008C4B72"/>
    <w:rsid w:val="008E1887"/>
    <w:rsid w:val="0091023F"/>
    <w:rsid w:val="009135D2"/>
    <w:rsid w:val="00914AA4"/>
    <w:rsid w:val="00924E9A"/>
    <w:rsid w:val="009271CE"/>
    <w:rsid w:val="00946CA1"/>
    <w:rsid w:val="0095196D"/>
    <w:rsid w:val="009B1809"/>
    <w:rsid w:val="009D25A7"/>
    <w:rsid w:val="009E0262"/>
    <w:rsid w:val="009E7400"/>
    <w:rsid w:val="00A117DB"/>
    <w:rsid w:val="00A119E9"/>
    <w:rsid w:val="00A11EA9"/>
    <w:rsid w:val="00A12726"/>
    <w:rsid w:val="00A35595"/>
    <w:rsid w:val="00A83325"/>
    <w:rsid w:val="00AA1DCE"/>
    <w:rsid w:val="00AA4589"/>
    <w:rsid w:val="00AA74A3"/>
    <w:rsid w:val="00AB40C0"/>
    <w:rsid w:val="00AB54C4"/>
    <w:rsid w:val="00AB6401"/>
    <w:rsid w:val="00AC624E"/>
    <w:rsid w:val="00B211B7"/>
    <w:rsid w:val="00B21BFB"/>
    <w:rsid w:val="00B36E16"/>
    <w:rsid w:val="00B66FC8"/>
    <w:rsid w:val="00B80A1B"/>
    <w:rsid w:val="00B908B3"/>
    <w:rsid w:val="00BA19B9"/>
    <w:rsid w:val="00BB1DAF"/>
    <w:rsid w:val="00BB23D5"/>
    <w:rsid w:val="00BC408E"/>
    <w:rsid w:val="00BD1816"/>
    <w:rsid w:val="00BD6DF3"/>
    <w:rsid w:val="00BF6746"/>
    <w:rsid w:val="00BF790E"/>
    <w:rsid w:val="00C05C00"/>
    <w:rsid w:val="00C163C4"/>
    <w:rsid w:val="00C245E3"/>
    <w:rsid w:val="00C26DEE"/>
    <w:rsid w:val="00C2758E"/>
    <w:rsid w:val="00C309A4"/>
    <w:rsid w:val="00C760DD"/>
    <w:rsid w:val="00C76DC2"/>
    <w:rsid w:val="00C9481E"/>
    <w:rsid w:val="00CA564F"/>
    <w:rsid w:val="00CA74D7"/>
    <w:rsid w:val="00CB43B7"/>
    <w:rsid w:val="00CD17C4"/>
    <w:rsid w:val="00CD6304"/>
    <w:rsid w:val="00CE3452"/>
    <w:rsid w:val="00CE4431"/>
    <w:rsid w:val="00CF545E"/>
    <w:rsid w:val="00D06E03"/>
    <w:rsid w:val="00D23299"/>
    <w:rsid w:val="00D42A6F"/>
    <w:rsid w:val="00D6635E"/>
    <w:rsid w:val="00D67E96"/>
    <w:rsid w:val="00DB66BA"/>
    <w:rsid w:val="00DD78E8"/>
    <w:rsid w:val="00DE1551"/>
    <w:rsid w:val="00E00ABB"/>
    <w:rsid w:val="00E127FF"/>
    <w:rsid w:val="00E16B6D"/>
    <w:rsid w:val="00E52C64"/>
    <w:rsid w:val="00E551DD"/>
    <w:rsid w:val="00E552FC"/>
    <w:rsid w:val="00E7691E"/>
    <w:rsid w:val="00E82D78"/>
    <w:rsid w:val="00E83143"/>
    <w:rsid w:val="00EB15EF"/>
    <w:rsid w:val="00EB3631"/>
    <w:rsid w:val="00ED0737"/>
    <w:rsid w:val="00ED0CC3"/>
    <w:rsid w:val="00EE18B3"/>
    <w:rsid w:val="00EF57F3"/>
    <w:rsid w:val="00F151AB"/>
    <w:rsid w:val="00F242AD"/>
    <w:rsid w:val="00F40BCD"/>
    <w:rsid w:val="00F4401E"/>
    <w:rsid w:val="00F44C23"/>
    <w:rsid w:val="00F47F16"/>
    <w:rsid w:val="00F527A8"/>
    <w:rsid w:val="00FB3917"/>
    <w:rsid w:val="00FE5A0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38796"/>
  <w15:docId w15:val="{635ADCD3-BB6E-4E0A-8B01-3E2A9DE7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8F4"/>
    <w:pPr>
      <w:spacing w:after="200" w:line="276" w:lineRule="auto"/>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1E68F4"/>
    <w:rPr>
      <w:rFonts w:ascii="Tahoma" w:hAnsi="Tahoma" w:cs="Tahoma"/>
      <w:sz w:val="16"/>
      <w:szCs w:val="16"/>
      <w:lang w:val="fr-FR"/>
    </w:rPr>
  </w:style>
  <w:style w:type="paragraph" w:styleId="BalloonText">
    <w:name w:val="Balloon Text"/>
    <w:basedOn w:val="Normal"/>
    <w:link w:val="BalloonTextChar"/>
    <w:uiPriority w:val="99"/>
    <w:semiHidden/>
    <w:unhideWhenUsed/>
    <w:rsid w:val="001E68F4"/>
    <w:pPr>
      <w:spacing w:after="0" w:line="240" w:lineRule="auto"/>
    </w:pPr>
    <w:rPr>
      <w:rFonts w:ascii="Tahoma" w:hAnsi="Tahoma" w:cs="Tahoma"/>
      <w:sz w:val="16"/>
      <w:szCs w:val="16"/>
    </w:rPr>
  </w:style>
  <w:style w:type="character" w:customStyle="1" w:styleId="HeaderChar">
    <w:name w:val="Header Char"/>
    <w:basedOn w:val="DefaultParagraphFont"/>
    <w:link w:val="Header"/>
    <w:uiPriority w:val="99"/>
    <w:semiHidden/>
    <w:rsid w:val="001E68F4"/>
    <w:rPr>
      <w:lang w:val="fr-FR"/>
    </w:rPr>
  </w:style>
  <w:style w:type="paragraph" w:styleId="Header">
    <w:name w:val="header"/>
    <w:basedOn w:val="Normal"/>
    <w:link w:val="HeaderChar"/>
    <w:uiPriority w:val="99"/>
    <w:semiHidden/>
    <w:unhideWhenUsed/>
    <w:rsid w:val="001E68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68F4"/>
    <w:rPr>
      <w:lang w:val="fr-FR"/>
    </w:rPr>
  </w:style>
  <w:style w:type="paragraph" w:styleId="Footer">
    <w:name w:val="footer"/>
    <w:basedOn w:val="Normal"/>
    <w:link w:val="FooterChar"/>
    <w:uiPriority w:val="99"/>
    <w:unhideWhenUsed/>
    <w:rsid w:val="001E68F4"/>
    <w:pPr>
      <w:tabs>
        <w:tab w:val="center" w:pos="4536"/>
        <w:tab w:val="right" w:pos="9072"/>
      </w:tabs>
      <w:spacing w:after="0" w:line="240" w:lineRule="auto"/>
    </w:pPr>
  </w:style>
  <w:style w:type="character" w:styleId="LineNumber">
    <w:name w:val="line number"/>
    <w:basedOn w:val="DefaultParagraphFont"/>
    <w:uiPriority w:val="99"/>
    <w:semiHidden/>
    <w:unhideWhenUsed/>
    <w:rsid w:val="007604A6"/>
  </w:style>
  <w:style w:type="paragraph" w:styleId="ListParagraph">
    <w:name w:val="List Paragraph"/>
    <w:basedOn w:val="Normal"/>
    <w:uiPriority w:val="34"/>
    <w:qFormat/>
    <w:rsid w:val="004040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96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3</Pages>
  <Words>857</Words>
  <Characters>4718</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brik youcef</cp:lastModifiedBy>
  <cp:revision>15</cp:revision>
  <dcterms:created xsi:type="dcterms:W3CDTF">2020-03-02T09:35:00Z</dcterms:created>
  <dcterms:modified xsi:type="dcterms:W3CDTF">2024-03-13T16:58:00Z</dcterms:modified>
</cp:coreProperties>
</file>