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C8B0" w14:textId="77777777" w:rsidR="009F5260" w:rsidRPr="0069453D" w:rsidRDefault="009F5260" w:rsidP="009F5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Ministère de l’enseignement supérieur et la recherche scientifique </w:t>
      </w:r>
    </w:p>
    <w:p w14:paraId="6C41E286" w14:textId="77777777" w:rsidR="009F5260" w:rsidRPr="0069453D" w:rsidRDefault="009F5260" w:rsidP="009F5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Université de Mohammed Boudiaf Msila</w:t>
      </w:r>
    </w:p>
    <w:p w14:paraId="369C1FAC" w14:textId="77777777" w:rsidR="009F5260" w:rsidRPr="0069453D" w:rsidRDefault="009F5260" w:rsidP="009F5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Institut de gestion technique urbaine</w:t>
      </w:r>
    </w:p>
    <w:p w14:paraId="1E77E007" w14:textId="77777777" w:rsidR="009F5260" w:rsidRPr="0069453D" w:rsidRDefault="009F5260" w:rsidP="009F5260">
      <w:pPr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Département de génie urbain                                     1</w:t>
      </w:r>
      <w:r w:rsidRPr="0069453D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DZ"/>
        </w:rPr>
        <w:t>er</w:t>
      </w: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année master risque et résilience </w:t>
      </w:r>
    </w:p>
    <w:p w14:paraId="77DA3E83" w14:textId="74296849" w:rsidR="009F5260" w:rsidRPr="0069453D" w:rsidRDefault="0096375B" w:rsidP="009F5260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Correction du </w:t>
      </w:r>
      <w:r w:rsidR="009F5260"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Contrôle de 1er semestre : géomorphologie dynamique et climatique    </w:t>
      </w:r>
    </w:p>
    <w:p w14:paraId="0A9D1CDB" w14:textId="77777777" w:rsidR="009F5260" w:rsidRPr="0069453D" w:rsidRDefault="009F5260" w:rsidP="009F5260">
      <w:pPr>
        <w:bidi/>
        <w:rPr>
          <w:rFonts w:ascii="Times New Roman" w:hAnsi="Times New Roman" w:cs="Times New Roman"/>
          <w:sz w:val="28"/>
          <w:szCs w:val="28"/>
          <w:lang w:bidi="ar-DZ"/>
        </w:rPr>
      </w:pPr>
    </w:p>
    <w:p w14:paraId="2F6746DA" w14:textId="61968BDD" w:rsidR="009F5260" w:rsidRPr="009F5260" w:rsidRDefault="009F5260" w:rsidP="009F5260">
      <w:pPr>
        <w:tabs>
          <w:tab w:val="left" w:pos="596"/>
          <w:tab w:val="right" w:pos="8306"/>
        </w:tabs>
        <w:bidi/>
        <w:spacing w:line="48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b/>
          <w:bCs/>
          <w:sz w:val="24"/>
          <w:szCs w:val="24"/>
          <w:lang w:bidi="ar-DZ"/>
        </w:rPr>
        <w:t>R</w:t>
      </w:r>
      <w:r w:rsidRPr="009F5260">
        <w:rPr>
          <w:rFonts w:ascii="Times New Roman" w:hAnsi="Times New Roman" w:cs="Times New Roman"/>
          <w:b/>
          <w:bCs/>
          <w:sz w:val="24"/>
          <w:szCs w:val="24"/>
          <w:lang w:bidi="ar-DZ"/>
        </w:rPr>
        <w:t>1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:  les types de l’altération de la roche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sont :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F5260">
        <w:rPr>
          <w:rFonts w:ascii="Times New Roman" w:hAnsi="Times New Roman" w:cs="Times New Roman"/>
          <w:b/>
          <w:bCs/>
          <w:sz w:val="24"/>
          <w:szCs w:val="24"/>
          <w:lang w:bidi="ar-DZ"/>
        </w:rPr>
        <w:t>(9pts)</w:t>
      </w:r>
      <w:r w:rsidRPr="009F526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</w:t>
      </w:r>
    </w:p>
    <w:p w14:paraId="7B836C55" w14:textId="030F05E0" w:rsidR="009F5260" w:rsidRPr="009F5260" w:rsidRDefault="009F5260" w:rsidP="009F52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sz w:val="24"/>
          <w:szCs w:val="24"/>
          <w:lang w:bidi="ar-DZ"/>
        </w:rPr>
        <w:t>L'altération physique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: est à plusieurs types :  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>Les alternances de gel et dégel,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>Les variations répétées de température.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>L'usure mécanique par des grains détritiques emportés par le vent, l'eau, la glace.</w:t>
      </w:r>
    </w:p>
    <w:p w14:paraId="7BDFED3D" w14:textId="35B050F0" w:rsidR="009F5260" w:rsidRPr="009F5260" w:rsidRDefault="009F5260" w:rsidP="009F52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sz w:val="24"/>
          <w:szCs w:val="24"/>
          <w:lang w:bidi="ar-DZ"/>
        </w:rPr>
        <w:t>L‘altération biologique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 : 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>On distingue l'altération provoquée par l'action chimique de composés produits par des organismes (plantes, microbes...) de l'action purement mécanique de plantes ou d'animaux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, 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>L'ingestion de matériaux par des animaux vivant dans les sols est un processus faisant intervenir en même temps les deux types de mécanismes précédents.</w:t>
      </w:r>
    </w:p>
    <w:p w14:paraId="1BFD5300" w14:textId="0164EEFB" w:rsidR="009F5260" w:rsidRPr="009F5260" w:rsidRDefault="009F5260" w:rsidP="009F5260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sz w:val="24"/>
          <w:szCs w:val="24"/>
          <w:lang w:bidi="ar-DZ"/>
        </w:rPr>
        <w:t>L'altération chimique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 : </w:t>
      </w:r>
      <w:r w:rsidRPr="009F5260">
        <w:rPr>
          <w:sz w:val="24"/>
          <w:szCs w:val="24"/>
          <w:lang w:bidi="ar-DZ"/>
        </w:rPr>
        <w:t xml:space="preserve">agit de deux </w:t>
      </w:r>
      <w:r w:rsidRPr="009F5260">
        <w:rPr>
          <w:sz w:val="24"/>
          <w:szCs w:val="24"/>
          <w:lang w:bidi="ar-DZ"/>
        </w:rPr>
        <w:t>façons :</w:t>
      </w:r>
      <w:r w:rsidRPr="009F5260">
        <w:rPr>
          <w:sz w:val="24"/>
          <w:szCs w:val="24"/>
          <w:lang w:bidi="ar-DZ"/>
        </w:rPr>
        <w:t xml:space="preserve"> </w:t>
      </w:r>
    </w:p>
    <w:p w14:paraId="6065DBE6" w14:textId="77777777" w:rsidR="009F5260" w:rsidRPr="009F5260" w:rsidRDefault="009F5260" w:rsidP="009F526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Certains minéraux (halite, calcite) sont dissous totalement et leurs ions sont évacués en solution</w:t>
      </w:r>
    </w:p>
    <w:p w14:paraId="589D40CF" w14:textId="6C36B12C" w:rsidR="009F5260" w:rsidRPr="009F5260" w:rsidRDefault="009F5260" w:rsidP="009F526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 D'autres minéraux, comme les micas ou les feldspaths sont transformés en d'autres espèces minérales (surtout en argiles), souvent de granulométrie plus fine et plus facilement mobilisables </w:t>
      </w:r>
    </w:p>
    <w:p w14:paraId="6D5E6ED6" w14:textId="1E1117FC" w:rsidR="009F5260" w:rsidRPr="0069453D" w:rsidRDefault="009F5260" w:rsidP="009F5260">
      <w:pPr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 w:rsidRPr="0069453D">
        <w:rPr>
          <w:rFonts w:ascii="Times New Roman" w:hAnsi="Times New Roman" w:cs="Times New Roman"/>
          <w:sz w:val="28"/>
          <w:szCs w:val="28"/>
          <w:lang w:bidi="ar-DZ"/>
        </w:rPr>
        <w:t xml:space="preserve">.  </w:t>
      </w:r>
      <w:r w:rsidRPr="0069453D">
        <w:rPr>
          <w:rFonts w:ascii="Times New Roman" w:hAnsi="Times New Roman" w:cs="Times New Roman"/>
          <w:sz w:val="28"/>
          <w:szCs w:val="28"/>
          <w:lang w:bidi="ar-DZ"/>
        </w:rPr>
        <w:t>Les</w:t>
      </w:r>
      <w:r w:rsidRPr="0069453D">
        <w:rPr>
          <w:rFonts w:ascii="Times New Roman" w:hAnsi="Times New Roman" w:cs="Times New Roman"/>
          <w:sz w:val="28"/>
          <w:szCs w:val="28"/>
          <w:lang w:bidi="ar-DZ"/>
        </w:rPr>
        <w:t xml:space="preserve"> techniques de la lutte contre l’érosion éolienne (</w:t>
      </w:r>
      <w:r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3pts)</w:t>
      </w:r>
    </w:p>
    <w:p w14:paraId="5C25ECB9" w14:textId="0217C947" w:rsidR="0096375B" w:rsidRPr="0096375B" w:rsidRDefault="009F5260" w:rsidP="0096375B">
      <w:p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F5260">
        <w:rPr>
          <w:rFonts w:ascii="Times New Roman" w:hAnsi="Times New Roman" w:cs="Times New Roman"/>
          <w:b/>
          <w:bCs/>
          <w:sz w:val="24"/>
          <w:szCs w:val="24"/>
          <w:lang w:bidi="ar-DZ"/>
        </w:rPr>
        <w:t>1</w:t>
      </w:r>
      <w:r w:rsidRPr="009F5260">
        <w:rPr>
          <w:rFonts w:ascii="Times New Roman" w:hAnsi="Times New Roman" w:cs="Times New Roman"/>
          <w:sz w:val="24"/>
          <w:szCs w:val="24"/>
          <w:lang w:bidi="ar-DZ"/>
        </w:rPr>
        <w:t xml:space="preserve">.Les brise-vents </w:t>
      </w:r>
      <w:r w:rsidR="0096375B" w:rsidRPr="0096375B">
        <w:rPr>
          <w:rFonts w:ascii="Times New Roman" w:hAnsi="Times New Roman" w:cs="Times New Roman"/>
          <w:b/>
          <w:bCs/>
          <w:sz w:val="24"/>
          <w:szCs w:val="24"/>
          <w:lang w:bidi="ar-DZ"/>
        </w:rPr>
        <w:t>2</w:t>
      </w:r>
      <w:r w:rsidR="0096375B"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. </w:t>
      </w:r>
      <w:r w:rsidR="0096375B" w:rsidRPr="0096375B">
        <w:rPr>
          <w:rFonts w:ascii="Times New Roman" w:hAnsi="Times New Roman" w:cs="Times New Roman"/>
          <w:sz w:val="24"/>
          <w:szCs w:val="24"/>
          <w:lang w:bidi="ar-DZ"/>
        </w:rPr>
        <w:t>Gestion des cultures et résidus des récoltes</w:t>
      </w:r>
      <w:r w:rsidR="0096375B"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96375B" w:rsidRPr="0096375B">
        <w:rPr>
          <w:rFonts w:ascii="Times New Roman" w:hAnsi="Times New Roman" w:cs="Times New Roman"/>
          <w:b/>
          <w:bCs/>
          <w:sz w:val="24"/>
          <w:szCs w:val="24"/>
          <w:lang w:bidi="ar-DZ"/>
        </w:rPr>
        <w:t>3.</w:t>
      </w:r>
      <w:r w:rsidR="0096375B"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 Travail du sol</w:t>
      </w:r>
    </w:p>
    <w:p w14:paraId="13D12663" w14:textId="65915479" w:rsidR="0096375B" w:rsidRPr="0096375B" w:rsidRDefault="0096375B" w:rsidP="0096375B">
      <w:pPr>
        <w:spacing w:line="48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96375B">
        <w:rPr>
          <w:rFonts w:ascii="Times New Roman" w:hAnsi="Times New Roman" w:cs="Times New Roman"/>
          <w:b/>
          <w:bCs/>
          <w:sz w:val="24"/>
          <w:szCs w:val="24"/>
          <w:lang w:bidi="ar-DZ"/>
        </w:rPr>
        <w:t>4.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>Les cultures en bandes en herbées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6375B">
        <w:rPr>
          <w:rFonts w:ascii="Times New Roman" w:hAnsi="Times New Roman" w:cs="Times New Roman"/>
          <w:b/>
          <w:bCs/>
          <w:sz w:val="24"/>
          <w:szCs w:val="24"/>
          <w:lang w:bidi="ar-DZ"/>
        </w:rPr>
        <w:t>5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>. Clôtures vives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6375B">
        <w:rPr>
          <w:rFonts w:ascii="Times New Roman" w:hAnsi="Times New Roman" w:cs="Times New Roman"/>
          <w:b/>
          <w:bCs/>
          <w:sz w:val="24"/>
          <w:szCs w:val="24"/>
          <w:lang w:bidi="ar-DZ"/>
        </w:rPr>
        <w:t>6</w:t>
      </w:r>
      <w:r w:rsidRPr="0096375B">
        <w:rPr>
          <w:rFonts w:ascii="Times New Roman" w:hAnsi="Times New Roman" w:cs="Times New Roman"/>
          <w:sz w:val="24"/>
          <w:szCs w:val="24"/>
          <w:lang w:bidi="ar-DZ"/>
        </w:rPr>
        <w:t>. Fixation des dunes</w:t>
      </w:r>
    </w:p>
    <w:p w14:paraId="500C87B7" w14:textId="4CBDAA6F" w:rsidR="009F5260" w:rsidRPr="0069453D" w:rsidRDefault="0096375B" w:rsidP="009F5260">
      <w:pPr>
        <w:bidi/>
        <w:spacing w:line="48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R</w:t>
      </w:r>
      <w:r w:rsidR="009F5260">
        <w:rPr>
          <w:rFonts w:ascii="Times New Roman" w:hAnsi="Times New Roman" w:cs="Times New Roman"/>
          <w:b/>
          <w:bCs/>
          <w:sz w:val="28"/>
          <w:szCs w:val="28"/>
          <w:lang w:bidi="ar-DZ"/>
        </w:rPr>
        <w:t>3</w:t>
      </w:r>
      <w:r w:rsidR="009F5260" w:rsidRPr="0069453D">
        <w:rPr>
          <w:rFonts w:ascii="Times New Roman" w:hAnsi="Times New Roman" w:cs="Times New Roman"/>
          <w:sz w:val="28"/>
          <w:szCs w:val="28"/>
          <w:lang w:bidi="ar-DZ"/>
        </w:rPr>
        <w:t>.</w:t>
      </w:r>
      <w:r w:rsidR="009F5260"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9453D">
        <w:rPr>
          <w:rFonts w:ascii="Times New Roman" w:hAnsi="Times New Roman" w:cs="Times New Roman"/>
          <w:sz w:val="28"/>
          <w:szCs w:val="28"/>
          <w:lang w:bidi="ar-DZ"/>
        </w:rPr>
        <w:t>Les</w:t>
      </w:r>
      <w:r w:rsidR="009F5260" w:rsidRPr="0069453D">
        <w:rPr>
          <w:rFonts w:ascii="Times New Roman" w:hAnsi="Times New Roman" w:cs="Times New Roman"/>
          <w:sz w:val="28"/>
          <w:szCs w:val="28"/>
          <w:lang w:bidi="ar-DZ"/>
        </w:rPr>
        <w:t xml:space="preserve"> styles fluviaux </w:t>
      </w:r>
      <w:r w:rsidR="009F5260" w:rsidRPr="00694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(8pts)</w:t>
      </w:r>
    </w:p>
    <w:p w14:paraId="59F643A2" w14:textId="15029BDA" w:rsidR="009F5260" w:rsidRPr="0069453D" w:rsidRDefault="0096375B" w:rsidP="0096375B">
      <w:pPr>
        <w:jc w:val="both"/>
      </w:pPr>
      <w:r w:rsidRPr="0096375B">
        <w:rPr>
          <w:rFonts w:ascii="Times New Roman" w:hAnsi="Times New Roman" w:cs="Times New Roman"/>
          <w:sz w:val="24"/>
          <w:szCs w:val="24"/>
          <w:lang w:bidi="ar-DZ"/>
        </w:rPr>
        <w:t xml:space="preserve">Torrents, </w:t>
      </w:r>
      <w:r w:rsidRPr="0096375B">
        <w:rPr>
          <w:sz w:val="24"/>
          <w:szCs w:val="24"/>
          <w:lang w:bidi="ar-DZ"/>
        </w:rPr>
        <w:t>Cours d’eau en tresses</w:t>
      </w:r>
      <w:r w:rsidRPr="0096375B">
        <w:rPr>
          <w:sz w:val="24"/>
          <w:szCs w:val="24"/>
          <w:lang w:bidi="ar-DZ"/>
        </w:rPr>
        <w:t xml:space="preserve">, </w:t>
      </w:r>
      <w:r w:rsidRPr="0096375B">
        <w:rPr>
          <w:sz w:val="24"/>
          <w:szCs w:val="24"/>
          <w:lang w:bidi="ar-DZ"/>
        </w:rPr>
        <w:t>rivières à style divagant</w:t>
      </w:r>
      <w:r w:rsidRPr="0096375B">
        <w:rPr>
          <w:sz w:val="24"/>
          <w:szCs w:val="24"/>
          <w:lang w:bidi="ar-DZ"/>
        </w:rPr>
        <w:t xml:space="preserve">, </w:t>
      </w:r>
      <w:r w:rsidRPr="0096375B">
        <w:rPr>
          <w:sz w:val="24"/>
          <w:szCs w:val="24"/>
          <w:lang w:bidi="ar-DZ"/>
        </w:rPr>
        <w:t>rivières à méandres</w:t>
      </w:r>
      <w:r>
        <w:rPr>
          <w:sz w:val="24"/>
          <w:szCs w:val="24"/>
          <w:lang w:bidi="ar-DZ"/>
        </w:rPr>
        <w:t>.</w:t>
      </w:r>
    </w:p>
    <w:p w14:paraId="7260D3B7" w14:textId="77777777" w:rsidR="009F5260" w:rsidRDefault="009F5260"/>
    <w:sectPr w:rsidR="009F5260" w:rsidSect="009F52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31FF"/>
    <w:multiLevelType w:val="hybridMultilevel"/>
    <w:tmpl w:val="9A6EEB38"/>
    <w:lvl w:ilvl="0" w:tplc="4A8673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63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E89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C2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2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63E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A83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C0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22F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B15"/>
    <w:multiLevelType w:val="hybridMultilevel"/>
    <w:tmpl w:val="9A74EEB2"/>
    <w:lvl w:ilvl="0" w:tplc="C21C4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4AA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2C1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C7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8E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02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D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042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6DE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B6"/>
    <w:multiLevelType w:val="hybridMultilevel"/>
    <w:tmpl w:val="FC328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449BB"/>
    <w:multiLevelType w:val="hybridMultilevel"/>
    <w:tmpl w:val="AE94D336"/>
    <w:lvl w:ilvl="0" w:tplc="75FA7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75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19A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EF6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0F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86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EF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02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61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9738022">
    <w:abstractNumId w:val="0"/>
  </w:num>
  <w:num w:numId="2" w16cid:durableId="1875579676">
    <w:abstractNumId w:val="2"/>
  </w:num>
  <w:num w:numId="3" w16cid:durableId="1271430692">
    <w:abstractNumId w:val="3"/>
  </w:num>
  <w:num w:numId="4" w16cid:durableId="42789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60"/>
    <w:rsid w:val="0096375B"/>
    <w:rsid w:val="009F5260"/>
    <w:rsid w:val="00E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29D9"/>
  <w15:chartTrackingRefBased/>
  <w15:docId w15:val="{6E94B25F-8ADF-42C5-A7EA-7755822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0"/>
    <w:pPr>
      <w:spacing w:after="200" w:line="276" w:lineRule="auto"/>
    </w:pPr>
    <w:rPr>
      <w:rFonts w:ascii="Calibri" w:eastAsia="Calibri" w:hAnsi="Calibri" w:cs="Arial"/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9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3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dokma</dc:creator>
  <cp:keywords/>
  <dc:description/>
  <cp:lastModifiedBy>abdou dokma</cp:lastModifiedBy>
  <cp:revision>1</cp:revision>
  <dcterms:created xsi:type="dcterms:W3CDTF">2025-01-18T08:06:00Z</dcterms:created>
  <dcterms:modified xsi:type="dcterms:W3CDTF">2025-01-18T08:22:00Z</dcterms:modified>
</cp:coreProperties>
</file>